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Tributi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Controllo TOSAP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verifica della regolarita' della posizione del contribuente finalizzata all'eventuale emissione di avviso di accertamento con determinazione dell'importo da pagare, comprensivo di imposta, sanzioni ed interessi.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1175/1931 - Testo unico per la finanza locale - D.Lgs. 507/1993 - Revisione ed armonizzazione imposta comunale sulla pubblicita' e del diritto sulle pubbliche affissioni - D.Lgs. 566/1993 - Disposizioni correttive al D.Lgs. 507/1993 - D.Lgs. 446/1997 - L. 448/1998 - Misure di finanza pubblica per la stabilizzazione e lo sviluppo - Regolamento comunale applicazione TOSAP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Tributi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 del quinto anno successivo a quello in cui la dichiarazione o il versamento sono stati o avrebbero dovuto essere effettuati.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avanti alla Commissione Tributaria Provinciale.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Ricorso/Reclamo giurisdizionale alla Commissione Tributaria entro 60 giorni dalla notifica del provvedimento ai sensi del D.Lgs 546/1992, (1Â? e 2Â? grado) - Ricorso in Cassazione (3Â? grado)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