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Commercio itinerante su aree pubbliche e su posteggio - subingresso - Autorizzazione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 rilascio di autorizzazione per il commercio itinerante su aree pubbliche e su posteggio- subingresso.</w:t>
            </w:r>
          </w:p>
          <w:p>
            <w:pPr>
              <w:jc w:val="both"/>
            </w:pPr>
            <w:r>
              <w:rPr>
                <w:rFonts w:ascii="Times New Roman" w:hAnsi="Times New Roman"/>
                <w:sz w:val="22"/>
                <w:szCs w:val="22"/>
              </w:rPr>
              <w:t xml:space="preserve">Il subentrante deve presentare SCIA di trasferimento della gestione al Comune che ha rilasciato l'autorizzazione se trattasi di commercio su aree pubbliche esclusivamente in forma itinerante o al Comune ove e' ubicato il posteggio se trattasi di mercato o fiera.</w:t>
            </w:r>
          </w:p>
          <w:p>
            <w:pPr>
              <w:jc w:val="both"/>
            </w:pPr>
            <w:r>
              <w:rPr>
                <w:rFonts w:ascii="Times New Roman" w:hAnsi="Times New Roman"/>
                <w:sz w:val="22"/>
                <w:szCs w:val="22"/>
              </w:rPr>
              <w:t xml:space="preserve">La SCIA deve essere presentata prima di iniziare lÂ?attivita' e, comunque, entro 60 giorni dalla data dellÂ?atto di trasferimento per non incorrere nelle sanzioni .</w:t>
            </w:r>
          </w:p>
          <w:p>
            <w:pPr>
              <w:jc w:val="both"/>
            </w:pPr>
            <w:r>
              <w:rPr>
                <w:rFonts w:ascii="Times New Roman" w:hAnsi="Times New Roman"/>
                <w:sz w:val="22"/>
                <w:szCs w:val="22"/>
              </w:rPr>
              <w:t xml:space="preserve">Il subentrante una volta presentata la SCIA relativa al subingresso puo' iniziare l'attivita' in attesa del rilascio del titolo autorizzativo e acquisisce tutti i diritti che erano gia' in capo al precedente titolare.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D.Lgs. 59/2010 - D.P.R. 160/2010 - Regolamento per la semplificazione e il riordino della disciplina sul SUAP - D.Lgs. 222/2016 - Regolamento SUAP - D.Lgs. 114/1998 - Riforma della disciplina relativa al settore del commercio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60 giorni</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