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Patrimonio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Vendita beni patrimonio disponibile mediante asta pubblica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La vendita dei beni immobili patrimoniali disponibili, anche in deroga alle norme legislative sulle alienazioni del patrimonio alienabile dello Stato (L. 24.12.1908 n. 783 e s.m.i. e Regolamento approvato con R.D. 17.6.1909 n. 454), nonche' sulla contabilita' generale degli enti locali precedenti, deve essere effettuata nel rispetto dei principi generali dell'ordinamento giuridico contabile e l'adozione di criteri di trasparenza ed adeguate forme di pubblicita' per acquisire e valutare concorrenti proposte di acquisto.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Le entrate derivanti dalla vendita dei beni hanno destinazione vincolata in base a specifici provvedimenti adottati dall'organo di indirizzo politico-amministrativo, nel rispetto delle norme di contabilita' pubblica vigenti.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lex di gara adottata dall'amministrazione.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