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Mutamento di destinazione d'uso avente rilevanza urbanistica - Autorizzazione (PdC)/silenzio-assenso dell'art. 20 del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mutamento della destinazione d'uso avente rilevanza urbanistica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Salva diversa previsione da parte delle leggi regionali costituisce mutamento rilevante della destinazione d'uso ogni forma di utilizzo dell'immobile o della singola unita' immobiliare diversa da quella originaria, ancorche' non accompagnata dall'esecuzione di opere edilizie, purche' tale da comportare l'assegnazione dell'immobile o dell'unita' immobiliare considerati ad una diversa categoria funzionale tra quelle elencate: residenziale; turistico ricettiva; produttiva direzionale; commerciale; rurale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