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Interventi su immobili sottoposti a vincolo idrogeologico - CILA/SCIA piu' Autorizzazioni (la mappatura si riferisce alla CILA)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della CILA/SCIA e nel rilascio dell'autorizzazione per interventi su immobili sottoposti a vincolo idrogeologico.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Gli interventi sottoposti a Dia, SCIA o Cila, infatti, devono ottenere preventivamente atti o pareri relativi all'assetto idrogeologico laddove previsto dalla normativa applicabile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R.D. 3267/1923 - Riordinamento e riforma della legislazione in materia di boschi e terreni montani - D.Lgs. 152/2006- Normativa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- 60 giorni per il rilascio dell'autorizzazione.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CILA - Dal momento che la comunicazione non necessita di autorizzazione, i lavori possono iniziare immediatamente dopo la sua presentazione.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L'inizio dei lavori e la conclusione degli stessi deve obbligatoriamente avvenire entro tre anni dalla presentazione della comunicazione.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-Non e' previso alcun provvedimento conclusivo e non si forma il silenzio, residua il controllo in capo all'amministrazione, con riferimento alla CILA.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Tuttavia, la CILA non assume efficacia siano all'autorizzazione richiesta.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Provvedimento espresso e motivato: autorizzazione idrogeologica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