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acustico: Autorizzazione in deroga per manifestazioni temporanee rumoros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e richieste di autorizzazione in deroga per manifestazioni temporanee rumorose ( cantieri, luna-park, circhi, manifestazioni musicali, teatrali e sportive, manifestazioni popolari, altre attivita' con carattere temporaneo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. 447/1995 - D.P.C.M. 14 novembre 1997 - Determinazione dei valori limite delle sorgenti sonore - Legge regionale - Regolamento di attuazione del Piano comunale di Zonizzazione Acu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