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Ecologia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Indagine ambientale preliminare: approvazione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nell'indagine ambientale preliminare. L'indagine deve essere svolta in autonomia e, ove gli esiti dimostrino l'assenza di contaminazione, chi l'ha eseguita deve trasmetterne gli esiti in forma di dichiarazione sostitutiva di atto notorio.</w:t>
            </w:r>
          </w:p>
          <w:p>
            <w:pPr>
              <w:jc w:val="both"/>
            </w:pPr>
            <w:r>
              <w:rPr>
                <w:rFonts w:ascii="Times New Roman" w:hAnsi="Times New Roman"/>
                <w:sz w:val="22"/>
                <w:szCs w:val="22"/>
              </w:rPr>
              <w:t xml:space="preserve">Nella presentazione di istanze per ottenere titoli edilizi per interventi di ristrutturazione, nuova edificazione e opere viabilistiche, oppure nell'ambito di interventi urbanistici attuativi e strumenti di programmazione negoziata, il proponente e' tenuto ad eseguire un'indagine ambientale preliminare delle aree e degli immobili interessati, volta a verificare la salubrita' degli stessi o la necessita' di avviare procedimenti di bonifica ai sensi del Titolo V parte IV del DLgs 152/06.</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82/2005 - L. 190/2012 - D.Lgs.n. 33/2013 - DPR n. 62/2013 - Statuto - Regolamento sul procedimento amministrativo - D.Lgs. 267/2000 T.U.E.L. - D.Lgs. 152/2006</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Ecologia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Ecologia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Provvedimento/atto espresso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Tutela giurisdizionale: ricorso al TAR entro 60 giorni o Presidente della Repubblica entro 120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