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Anagrafe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Accertamento requisiti di dimora abituale delle variazioni di residenza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nell'accertamento requisiti di dimora abituale delle variazioni di residenza. La legge obbliga l'ufficiale anagrafico a verificare la sussistenza del requisito della abitualita' della dimora di chi richiede l'iscrizione nell'Anagrafe del comune. Gli accertamenti devono essere svolti dal corpo di polizia municipale o da altro personale comunale a cio' autorizzato. I controlli devono essere effettuati nei 45 giorni successivi alla dichiarazione resa o inviata nei modi previsti dalla legge (posta, e-mail ecc.).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1228/1954 - Ordinamento delle anagrafi della popolazione residente - D.Lgs. 286/1998 - Testo Unico Immigrazione - D.P.R. 394/1999 - Regolamento recante norme di attuazione del Testo Unico immigrazione, D.Lgs. 286/1998 - D.P.R. 223/1989 - Approvazione del nuovo regolamento anagrafico della popolazione residente - L. 35/2012 - Disposizioni urgenti in materia di semplificazione e sviluppo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Anagrafe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45 giorni dall'istanza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motivato, relazione di verifica.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