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Adozione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dell' adozione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476/1998 - Ratifica ed esecuzione della Convenzione per la tutela dei minori e la cooperazione in materia di adozione internazionale - L. 149/2001 - Modifiche alla L. 184/1983 recante disciplina della adozione e dell'affidamento dei minori - D.P.R. 108/2007 - Regolamento recante riordino della Commissione per le adozioni internazionali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Gli effetti della filiazione derivanti dall'adozione e l'acquisto della cittadinanza decorrono dalla data della sentenza del tribunale italiano passata in giudicato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l'Ufficiale di Stato Civile trasmette tutte le variazioni al comune di residenza del minore che provvedera' alla modifica dei dati anagrafici del minore: il cognome del padre, indicazione maternita' e paternita', eventuale nuovo nome deciso dal Tribunale;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