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Area Vigilanza</w:t>
      </w:r>
      <w:r>
        <w:rPr>
          <w:rFonts w:ascii="Arial" w:hAnsi="Arial" w:cs="Tahoma"/>
          <w:b/>
          <w:color w:val="2A58A7"/>
        </w:rPr>
        <w:t xml:space="preserve"> </w:t>
      </w:r>
      <w:r w:rsidRPr="004D2B3E">
        <w:rPr>
          <w:rFonts w:ascii="Arial" w:hAnsi="Arial" w:cs="Tahoma"/>
          <w:b/>
          <w:color w:val="2A58A7"/>
        </w:rPr>
        <w:t>Settore polizia locale</w:t>
      </w:r>
      <w:r>
        <w:rPr>
          <w:rFonts w:ascii="Arial" w:hAnsi="Arial" w:cs="Tahoma"/>
          <w:b/>
          <w:color w:val="2A58A7"/>
        </w:rPr>
        <w:t xml:space="preserve"> </w:t>
      </w:r>
      <w:r w:rsidRPr="004D2B3E">
        <w:rPr>
          <w:rFonts w:ascii="Arial" w:hAnsi="Arial" w:cs="Tahoma"/>
          <w:b/>
          <w:color w:val="2A58A7"/>
        </w:rPr>
        <w:t>Polizia stradale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Accertamento violazioni stradali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nell'accertamento violazioni stradali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285/92 - Codice della strada - D.P.R. 495/1992 - Regolamento di esecuzione e di attuazione del nuovo codice della strada - D.P.R. 151/2012 - Regolamento recante modifiche al D.P.R. 495/1992, concernente il regolamento di esecuzione e di attuazione del Nuovo Codice della strada, in materia di strutture, contrassegno e segnaletica per facilitare la mobilita' delle persone invalide - L. 689/1981</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Area Vigilanza SERVIZIO Settore polizia locale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Polizia stradale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Polizia stradale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verbale deve, entro 90 giorni dall'accertamento, essere notificato all'effettivo trasgressore o, quando questi non sia stato identificato, ad uno dei soggetti indicati nell'art. 196 del codice della strada, attinto dai pubblici registri alla data dell'accertamento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istanza di autotutela, ricorsi amministrativi al Prefetto entro 60 giorni dalla notifica della sanzione;</w:t>
            </w:r>
          </w:p>
          <w:p>
            <w:pPr>
              <w:jc w:val="both"/>
            </w:pPr>
            <w:r>
              <w:rPr>
                <w:rFonts w:ascii="Times New Roman" w:hAnsi="Times New Roman"/>
                <w:sz w:val="22"/>
                <w:szCs w:val="22"/>
              </w:rPr>
              <w:t xml:space="preserve">- Tutela Giurisdizionale: ricorso al Giudice di Pace entro 30 giorni dalla notifica della sanzione;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