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Manutenzioni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 transito in centro storico con autocarri o mezzi speciali di portata superiore a 3,5 tonnellate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rilascio dell'autorizzazione al transito in centro sottarco con autocarri o mezzi speciali di portata superiore 3,5 tonnellate.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 - Regolamento per la salvaguardia delle pavimentazioni stradali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