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AMMINISTRATIVO</w:t>
      </w:r>
      <w:r>
        <w:rPr>
          <w:rFonts w:ascii="Arial" w:hAnsi="Arial" w:cs="Tahoma"/>
          <w:b/>
          <w:color w:val="2A58A7"/>
        </w:rPr>
        <w:t xml:space="preserve"> </w:t>
      </w:r>
      <w:r w:rsidRPr="004D2B3E">
        <w:rPr>
          <w:rFonts w:ascii="Arial" w:hAnsi="Arial" w:cs="Tahoma"/>
          <w:b/>
          <w:color w:val="2A58A7"/>
        </w:rPr>
        <w:t>SERVIZIO AMMINISTRATIVO</w:t>
      </w:r>
      <w:r>
        <w:rPr>
          <w:rFonts w:ascii="Arial" w:hAnsi="Arial" w:cs="Tahoma"/>
          <w:b/>
          <w:color w:val="2A58A7"/>
        </w:rPr>
        <w:t xml:space="preserve"> </w:t>
      </w:r>
      <w:r w:rsidRPr="004D2B3E">
        <w:rPr>
          <w:rFonts w:ascii="Arial" w:hAnsi="Arial" w:cs="Tahoma"/>
          <w:b/>
          <w:color w:val="2A58A7"/>
        </w:rPr>
        <w:t>Elettorale e Leva</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Elettorale: revisione dinamica liste elettorali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pubblica, d'ufficio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 revisione dinamica liste elettorali. Le revisioni dinamiche vengono effettuate, ad ogni semestre, dall'Ufficiale Elettorale che successivamente le comunica alla Commissione Elettorale Circondariale per l'aggiornamento delle liste ivi depositate, nei mesi di gennaio e luglio, in due fasi dette tornate.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 - D.P.R. 223/1967 - Testo Unico delle Leggi per la disciplina dell'elettorato attivo e per la tenuta e la revisione delle liste elettorali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AMMINISTRATIVO SERVIZIO SERVIZIO AMMINISTRATIVO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Elettorale e Leva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Ferri Barbara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N.R.</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N.R.</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Elettorale e Leva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 particolare, nella prima tornata (entro, rispettivamente, il 10 gennaio e il 10 luglio) si procede alle cancellazioni per:</w:t>
            </w:r>
          </w:p>
          <w:p>
            <w:pPr>
              <w:jc w:val="both"/>
            </w:pPr>
            <w:r>
              <w:rPr>
                <w:rFonts w:ascii="Times New Roman" w:hAnsi="Times New Roman"/>
                <w:sz w:val="22"/>
                <w:szCs w:val="22"/>
              </w:rPr>
              <w:t xml:space="preserve">- trasferimento della residenza in altro Comune;</w:t>
            </w:r>
          </w:p>
          <w:p>
            <w:pPr>
              <w:jc w:val="both"/>
            </w:pPr>
            <w:r>
              <w:rPr>
                <w:rFonts w:ascii="Times New Roman" w:hAnsi="Times New Roman"/>
                <w:sz w:val="22"/>
                <w:szCs w:val="22"/>
              </w:rPr>
              <w:t xml:space="preserve">- rientro dall'estero in altro Comune.</w:t>
            </w:r>
          </w:p>
          <w:p>
            <w:pPr>
              <w:jc w:val="both"/>
            </w:pPr>
            <w:r>
              <w:rPr>
                <w:rFonts w:ascii="Times New Roman" w:hAnsi="Times New Roman"/>
                <w:sz w:val="22"/>
                <w:szCs w:val="22"/>
              </w:rPr>
              <w:t xml:space="preserve"> Invece, nella seconda tornata (entro, rispettivamente, il 31 gennaio e il 31 luglio) si procede alle iscrizioni per:</w:t>
            </w:r>
          </w:p>
          <w:p>
            <w:pPr>
              <w:jc w:val="both"/>
            </w:pPr>
            <w:r>
              <w:rPr>
                <w:rFonts w:ascii="Times New Roman" w:hAnsi="Times New Roman"/>
                <w:sz w:val="22"/>
                <w:szCs w:val="22"/>
              </w:rPr>
              <w:t xml:space="preserve">- trasferimento della residenza da altro Comune;</w:t>
            </w:r>
          </w:p>
          <w:p>
            <w:pPr>
              <w:jc w:val="both"/>
            </w:pPr>
            <w:r>
              <w:rPr>
                <w:rFonts w:ascii="Times New Roman" w:hAnsi="Times New Roman"/>
                <w:sz w:val="22"/>
                <w:szCs w:val="22"/>
              </w:rPr>
              <w:t xml:space="preserve">- acquisto della cittadinanza;</w:t>
            </w:r>
          </w:p>
          <w:p>
            <w:pPr>
              <w:jc w:val="both"/>
            </w:pPr>
            <w:r>
              <w:rPr>
                <w:rFonts w:ascii="Times New Roman" w:hAnsi="Times New Roman"/>
                <w:sz w:val="22"/>
                <w:szCs w:val="22"/>
              </w:rPr>
              <w:t xml:space="preserve">- riacquisto del diritto elettorale;</w:t>
            </w:r>
          </w:p>
          <w:p>
            <w:pPr>
              <w:jc w:val="both"/>
            </w:pPr>
            <w:r>
              <w:rPr>
                <w:rFonts w:ascii="Times New Roman" w:hAnsi="Times New Roman"/>
                <w:sz w:val="22"/>
                <w:szCs w:val="22"/>
              </w:rPr>
              <w:t xml:space="preserve">- rientro dall'Estero;</w:t>
            </w:r>
          </w:p>
          <w:p>
            <w:pPr>
              <w:jc w:val="both"/>
            </w:pPr>
            <w:r>
              <w:rPr>
                <w:rFonts w:ascii="Times New Roman" w:hAnsi="Times New Roman"/>
                <w:sz w:val="22"/>
                <w:szCs w:val="22"/>
              </w:rPr>
              <w:t xml:space="preserve">- iscrizione a domanda;</w:t>
            </w:r>
          </w:p>
          <w:p>
            <w:pPr>
              <w:jc w:val="both"/>
            </w:pPr>
            <w:r>
              <w:rPr>
                <w:rFonts w:ascii="Times New Roman" w:hAnsi="Times New Roman"/>
                <w:sz w:val="22"/>
                <w:szCs w:val="22"/>
              </w:rPr>
              <w:t xml:space="preserve">- iscrizione anagrafica da irreperibilita';</w:t>
            </w:r>
          </w:p>
          <w:p>
            <w:pPr>
              <w:jc w:val="both"/>
            </w:pPr>
            <w:r>
              <w:rPr>
                <w:rFonts w:ascii="Times New Roman" w:hAnsi="Times New Roman"/>
                <w:sz w:val="22"/>
                <w:szCs w:val="22"/>
              </w:rPr>
              <w:t xml:space="preserve">- ammissione al voto deliberata dalla Commissione Elettorale Circondariale;</w:t>
            </w:r>
          </w:p>
          <w:p>
            <w:pPr>
              <w:jc w:val="both"/>
            </w:pPr>
            <w:r>
              <w:rPr>
                <w:rFonts w:ascii="Times New Roman" w:hAnsi="Times New Roman"/>
                <w:sz w:val="22"/>
                <w:szCs w:val="22"/>
              </w:rPr>
              <w:t xml:space="preserve">- cambio di abitazione che comporta cambio di sezione elettorale;</w:t>
            </w:r>
          </w:p>
          <w:p>
            <w:pPr>
              <w:jc w:val="both"/>
            </w:pPr>
            <w:r>
              <w:rPr>
                <w:rFonts w:ascii="Times New Roman" w:hAnsi="Times New Roman"/>
                <w:sz w:val="22"/>
                <w:szCs w:val="22"/>
              </w:rPr>
              <w:t xml:space="preserve">- omissione;</w:t>
            </w:r>
          </w:p>
          <w:p>
            <w:pPr>
              <w:jc w:val="both"/>
            </w:pPr>
            <w:r>
              <w:rPr>
                <w:rFonts w:ascii="Times New Roman" w:hAnsi="Times New Roman"/>
                <w:sz w:val="22"/>
                <w:szCs w:val="22"/>
              </w:rPr>
              <w:t xml:space="preserve">- cambiamento di sesso</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 E alle cancellazioni per:</w:t>
            </w:r>
          </w:p>
          <w:p>
            <w:pPr>
              <w:jc w:val="both"/>
            </w:pPr>
            <w:r>
              <w:rPr>
                <w:rFonts w:ascii="Times New Roman" w:hAnsi="Times New Roman"/>
                <w:sz w:val="22"/>
                <w:szCs w:val="22"/>
              </w:rPr>
              <w:t xml:space="preserve">- perdita della capacita' elettorale;</w:t>
            </w:r>
          </w:p>
          <w:p>
            <w:pPr>
              <w:jc w:val="both"/>
            </w:pPr>
            <w:r>
              <w:rPr>
                <w:rFonts w:ascii="Times New Roman" w:hAnsi="Times New Roman"/>
                <w:sz w:val="22"/>
                <w:szCs w:val="22"/>
              </w:rPr>
              <w:t xml:space="preserve">- perdita della cittadinanza;</w:t>
            </w:r>
          </w:p>
          <w:p>
            <w:pPr>
              <w:jc w:val="both"/>
            </w:pPr>
            <w:r>
              <w:rPr>
                <w:rFonts w:ascii="Times New Roman" w:hAnsi="Times New Roman"/>
                <w:sz w:val="22"/>
                <w:szCs w:val="22"/>
              </w:rPr>
              <w:t xml:space="preserve">- rettifica generalita';</w:t>
            </w:r>
          </w:p>
          <w:p>
            <w:pPr>
              <w:jc w:val="both"/>
            </w:pPr>
            <w:r>
              <w:rPr>
                <w:rFonts w:ascii="Times New Roman" w:hAnsi="Times New Roman"/>
                <w:sz w:val="22"/>
                <w:szCs w:val="22"/>
              </w:rPr>
              <w:t xml:space="preserve">- decisione della Commissione Elettorale Circondariale;</w:t>
            </w:r>
          </w:p>
          <w:p>
            <w:pPr>
              <w:jc w:val="both"/>
            </w:pPr>
            <w:r>
              <w:rPr>
                <w:rFonts w:ascii="Times New Roman" w:hAnsi="Times New Roman"/>
                <w:sz w:val="22"/>
                <w:szCs w:val="22"/>
              </w:rPr>
              <w:t xml:space="preserve">- d'ufficio;</w:t>
            </w:r>
          </w:p>
          <w:p>
            <w:pPr>
              <w:jc w:val="both"/>
            </w:pPr>
            <w:r>
              <w:rPr>
                <w:rFonts w:ascii="Times New Roman" w:hAnsi="Times New Roman"/>
                <w:sz w:val="22"/>
                <w:szCs w:val="22"/>
              </w:rPr>
              <w:t xml:space="preserve">- decesso.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Provvedimento espresso e motivato: determinazione dirigenziale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giurisdizionale: ricorso al TAR entro 60 giorni o Presidente della Repubblica entro 120 giorni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N.R.</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