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Edilizia Privata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Eliminazione delle barriere architettoniche (pesanti) - CILA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negli interventi svolti alla eliminazione delle barriere architettoniche.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La Comunicazione di Inizio Lavori Asseverata (c.d. CILA) relativa a lavori di manutenzione straordinaria, inviata dal privato all'amministrazione competente, non e' sottoposta alla valutazione di ammissibilita' da parte della amministrazione stessa a cui residua esclusivamente il potere di controllare la conformita' dell'immobile oggetto della CILA alle prescrizioni vigenti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82/2005 - L. 190/2012 - D.Lgs.n. 33/2013 - DPR n. 62/2013 - Statuto - Regolamento sul procedimento amministrativo - D.Lgs. 267/2000 T.U.E.L. - D.P.R. 445/2000 - D.P.R. 380/2001 - Testo Unico delle disposizioni legislative e regolamentari in materia edilizia - D.Lgs. 222/2016 - Individuazione di procedimenti oggetto di autorizzazione, SCIA, silenzio-assenso e comunicazione e di definizione dei regimi amministrativi applicabili a determinate attivita' e procedimenti - Legge regionale - Regolamento Edilizio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Edilizia Privata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Edilizia Privata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Dal momento che la comunicazione non necessita di autorizzazione, i lavori possono iniziare immediatamente dopo la sua presentazione.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L'inizio dei lavori e la conclusione degli stessi deve obbligatoriamente avvenire entro tre anni dalla presentazione della comunicazione.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Non e' previso alcun provvedimento conclusivo e non si forma il silenzio, residua il controllo in capo all'amministrazione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