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Costruzione in area di rispetto del demanio marittimo - Autorizzazione PdC piu'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delle autorizzazioni per la costruzione in area di rispetto del demanio marittimo prioritario alla richiesta di rilascio della concessione demaniale rispetto a quella del titolo a vita tipo, dovendo, a stretto rigore, l'autorita' amministrativa rilasciare il titolo edificatorio solo soggetto che si e' gia' concessionario del bene. In ogni caso, la compresenza dei due provvedimenti e' indispensabile al fine del concreto inizio dei lavori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R.D. 327/1942 - Codice della navigazione, art. 55 - D.Lgs. 267/2000 T.U.E.L. - D.P.R. 380/2001 - Testo Unico delle disposizioni legislative e regolamentari in materia edilizia - D.Lgs. 42/2004 - Codice dei beni culturali e del paesaggio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dell'autorizzazione da parte dell'Autorita' Marittima: 90 giorni</w:t>
            </w:r>
          </w:p>
          <w:p>
            <w:pPr>
              <w:jc w:val="both"/>
            </w:pPr>
            <w:r>
              <w:rPr>
                <w:rFonts w:ascii="Times New Roman" w:hAnsi="Times New Roman"/>
                <w:sz w:val="22"/>
                <w:szCs w:val="22"/>
              </w:rPr>
              <w:t xml:space="preserve">- Termine per la conclusione per il rilascio del Permesso di costruire: 90 giorni</w:t>
            </w:r>
          </w:p>
          <w:p>
            <w:pPr>
              <w:jc w:val="both"/>
            </w:pPr>
            <w:r>
              <w:rPr>
                <w:rFonts w:ascii="Times New Roman" w:hAnsi="Times New Roman"/>
                <w:sz w:val="22"/>
                <w:szCs w:val="22"/>
              </w:rPr>
              <w:t xml:space="preserve">- Termini intermedi che sospendono o interrompono il procedimento: sospensione o interruzione per mancato raggiungimento di intese e accordi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 dell'Autorita' Marittima</w:t>
            </w:r>
          </w:p>
          <w:p>
            <w:pPr>
              <w:jc w:val="both"/>
            </w:pPr>
            <w:r>
              <w:rPr>
                <w:rFonts w:ascii="Times New Roman" w:hAnsi="Times New Roman"/>
                <w:sz w:val="22"/>
                <w:szCs w:val="22"/>
              </w:rPr>
              <w:t xml:space="preserve">- </w:t>
            </w:r>
          </w:p>
          <w:p>
            <w:pPr>
              <w:jc w:val="both"/>
            </w:pPr>
            <w:r>
              <w:rPr>
                <w:rFonts w:ascii="Times New Roman" w:hAnsi="Times New Roman"/>
                <w:sz w:val="22"/>
                <w:szCs w:val="22"/>
              </w:rPr>
              <w:t xml:space="preserve">- Provvedimento espresso e motivato: Permesso di Costruire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