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Anagrafe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Anagrafe: Variazione di indirizzo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compilazione del moduli per la variazione di indirizzo.</w:t>
            </w:r>
          </w:p>
          <w:p>
            <w:pPr>
              <w:jc w:val="both"/>
            </w:pPr>
            <w:r>
              <w:rPr>
                <w:rFonts w:ascii="Times New Roman" w:hAnsi="Times New Roman"/>
                <w:sz w:val="22"/>
                <w:szCs w:val="22"/>
              </w:rPr>
              <w:t xml:space="preserve">L'ufficiale d'anagrafe nei due giorni successivi alla presentazione delle dichiarazioni, e' tenuto alla loro registrazione, fermo restando che gli effetti giuridici dell'iscrizione nei registri anagrafici decorrono sin dalla data di presentazione della suddetta modulistica (art. 5, c. 1, 3). Successivamente, le autorita' competenti, solitamente la Polizia Municipale, svolgono gli accertamenti su quanto dichiarato nei 45 giorni successivi dalla data di presentazione delle dichiarazioni. Decorso il periodo suddetto, in assenza di comunicazioni da parte dell'Ufficiale di anagrafe, si applica il silenzio-assenso, di cui all'art. 20 della legge n. 241/1990</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223/1989 - Approvazione del nuovo regolamento anagrafico della popolazione residente - D.P.R. 445/2000 - L. 35/2012 - Disposizioni urgenti in materia di semplificazione e sviluppo - L. 80/2014 - misure urgenti per l'emergenza abitativa, per il mercato delle costruzioni e per EXPO 2015</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AMMINISTRATIVO SERVIZIO SERVIZIO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Anagrafe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Anagrafe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45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